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AC" w:rsidRDefault="00226AC2">
      <w:r>
        <w:t>Tag der Lehre 2015 – Technische Universität Wien</w:t>
      </w:r>
    </w:p>
    <w:p w:rsidR="00226AC2" w:rsidRDefault="00226AC2">
      <w:r w:rsidRPr="0056060B">
        <w:rPr>
          <w:b/>
          <w:color w:val="1F497D"/>
          <w:sz w:val="32"/>
        </w:rPr>
        <w:t>Technisch unterstützte Lehrinnovation – Best Practice Beispiele zeitgemäßer Lehre an der TU Wien</w:t>
      </w:r>
    </w:p>
    <w:p w:rsidR="00226AC2" w:rsidRDefault="00226AC2">
      <w:r>
        <w:t xml:space="preserve">Dr. techn. Gergely </w:t>
      </w:r>
      <w:r w:rsidR="00A779BC">
        <w:t>RAKOCZI</w:t>
      </w:r>
    </w:p>
    <w:p w:rsidR="00226AC2" w:rsidRDefault="00226AC2"/>
    <w:p w:rsidR="00226AC2" w:rsidRDefault="002A2B74" w:rsidP="00524644">
      <w:pPr>
        <w:jc w:val="both"/>
      </w:pPr>
      <w:r>
        <w:t>In diesem Vortrag werden die Themenschwerpunkte der Vorredner aufgegriffen</w:t>
      </w:r>
      <w:r w:rsidR="00303B9E">
        <w:t>,</w:t>
      </w:r>
      <w:r>
        <w:t xml:space="preserve"> und anhand praxisnaher Beispiele wird eine Brücke zu Services und Angeboten des Teaching Support Center</w:t>
      </w:r>
      <w:r w:rsidR="00B80EC5">
        <w:t>s</w:t>
      </w:r>
      <w:r>
        <w:t xml:space="preserve"> geboten. Dabei werden unter anderen folgende Inhalte präsentiert:</w:t>
      </w:r>
    </w:p>
    <w:p w:rsidR="002A2B74" w:rsidRPr="002A2B74" w:rsidRDefault="00303B9E" w:rsidP="00524644">
      <w:pPr>
        <w:pStyle w:val="Listenabsatz"/>
        <w:numPr>
          <w:ilvl w:val="0"/>
          <w:numId w:val="1"/>
        </w:numPr>
        <w:jc w:val="both"/>
        <w:rPr>
          <w:i/>
        </w:rPr>
      </w:pPr>
      <w:r>
        <w:rPr>
          <w:i/>
        </w:rPr>
        <w:t>„</w:t>
      </w:r>
      <w:r w:rsidR="002A2B74" w:rsidRPr="002A2B74">
        <w:rPr>
          <w:i/>
        </w:rPr>
        <w:t>Modernisierung</w:t>
      </w:r>
      <w:r>
        <w:rPr>
          <w:i/>
        </w:rPr>
        <w:t>“</w:t>
      </w:r>
      <w:r w:rsidR="002A2B74" w:rsidRPr="002A2B74">
        <w:rPr>
          <w:i/>
        </w:rPr>
        <w:t xml:space="preserve"> einer Vorlesung:</w:t>
      </w:r>
    </w:p>
    <w:p w:rsidR="002A2B74" w:rsidRDefault="00303B9E" w:rsidP="00524644">
      <w:pPr>
        <w:pStyle w:val="Listenabsatz"/>
        <w:jc w:val="both"/>
      </w:pPr>
      <w:r w:rsidRPr="00303B9E">
        <w:t>Dazu werden Best-Practice-Beispiele zur Anreicherung von Präsenzveranstaltungen gezeigt – u.a. mit „LectureTube Live“ (Videostreaming), „TU Connect“ (</w:t>
      </w:r>
      <w:r>
        <w:t>Web</w:t>
      </w:r>
      <w:r w:rsidRPr="00303B9E">
        <w:t>conferencing) und „Ars Nova“ (Live Abstimmungstools zur Steigerung der Interaktivität).</w:t>
      </w:r>
    </w:p>
    <w:p w:rsidR="002A2B74" w:rsidRDefault="002A2B74" w:rsidP="00524644">
      <w:pPr>
        <w:pStyle w:val="Listenabsatz"/>
        <w:jc w:val="both"/>
      </w:pPr>
    </w:p>
    <w:p w:rsidR="002A2B74" w:rsidRPr="002A2B74" w:rsidRDefault="002A2B74" w:rsidP="00524644">
      <w:pPr>
        <w:pStyle w:val="Listenabsatz"/>
        <w:numPr>
          <w:ilvl w:val="0"/>
          <w:numId w:val="1"/>
        </w:numPr>
        <w:jc w:val="both"/>
        <w:rPr>
          <w:i/>
        </w:rPr>
      </w:pPr>
      <w:r w:rsidRPr="002A2B74">
        <w:rPr>
          <w:i/>
        </w:rPr>
        <w:t>Eigenverantwortliches / Selbstgesteuertes Lernen unterstützen:</w:t>
      </w:r>
    </w:p>
    <w:p w:rsidR="00EB1536" w:rsidRDefault="00303B9E" w:rsidP="00524644">
      <w:pPr>
        <w:pStyle w:val="Listenabsatz"/>
        <w:jc w:val="both"/>
      </w:pPr>
      <w:r w:rsidRPr="00303B9E">
        <w:t xml:space="preserve">Neben „LectureTube“ </w:t>
      </w:r>
      <w:r>
        <w:t xml:space="preserve">(Aufzeichnung von Lehrveranstaltungen) </w:t>
      </w:r>
      <w:r w:rsidRPr="00303B9E">
        <w:t>werden ausgewählte Funktionen und Aktivitäten der zentralen E-Learning-Plattform „TUWEL“ gezeigt, die Formen des selbstgesteuerten Lernens unterstützen – z.B. der „manuelle Kursabschluss“.</w:t>
      </w:r>
    </w:p>
    <w:p w:rsidR="00EB1536" w:rsidRDefault="00EB1536" w:rsidP="00524644">
      <w:pPr>
        <w:pStyle w:val="Listenabsatz"/>
        <w:jc w:val="both"/>
      </w:pPr>
    </w:p>
    <w:p w:rsidR="00EB1536" w:rsidRDefault="00EB1536" w:rsidP="00524644">
      <w:pPr>
        <w:pStyle w:val="Listenabsatz"/>
        <w:numPr>
          <w:ilvl w:val="0"/>
          <w:numId w:val="1"/>
        </w:numPr>
        <w:jc w:val="both"/>
        <w:rPr>
          <w:i/>
        </w:rPr>
      </w:pPr>
      <w:r w:rsidRPr="00EB1536">
        <w:rPr>
          <w:i/>
        </w:rPr>
        <w:t>Gemeinsames Lernen fördern:</w:t>
      </w:r>
    </w:p>
    <w:p w:rsidR="00EB1536" w:rsidRDefault="00A779BC" w:rsidP="00524644">
      <w:pPr>
        <w:pStyle w:val="Listenabsatz"/>
        <w:jc w:val="both"/>
      </w:pPr>
      <w:r>
        <w:t xml:space="preserve">Unter diesem Vortragspunkt werden </w:t>
      </w:r>
      <w:r w:rsidR="0054249E">
        <w:t>Praxisb</w:t>
      </w:r>
      <w:r>
        <w:t>eispiele von TUWEL-Funktionen präsentiert, die kol</w:t>
      </w:r>
      <w:r w:rsidR="00303B9E">
        <w:t>l</w:t>
      </w:r>
      <w:r>
        <w:t>aborative Lernprozesse unterstützen, z.B.: die Aktivitäten „Workshop“, „Glossar“, „Studierendenordner“ oder das „Wiki“.</w:t>
      </w:r>
    </w:p>
    <w:p w:rsidR="00A779BC" w:rsidRDefault="00A779BC" w:rsidP="00524644">
      <w:pPr>
        <w:pStyle w:val="Listenabsatz"/>
        <w:jc w:val="both"/>
      </w:pPr>
    </w:p>
    <w:p w:rsidR="00A779BC" w:rsidRPr="0054249E" w:rsidRDefault="00A779BC" w:rsidP="00524644">
      <w:pPr>
        <w:pStyle w:val="Listenabsatz"/>
        <w:numPr>
          <w:ilvl w:val="0"/>
          <w:numId w:val="1"/>
        </w:numPr>
        <w:jc w:val="both"/>
      </w:pPr>
      <w:r w:rsidRPr="0054249E">
        <w:t>Weitere Themeninhalte:</w:t>
      </w:r>
      <w:r w:rsidR="0054249E">
        <w:t xml:space="preserve"> </w:t>
      </w:r>
      <w:r>
        <w:t xml:space="preserve">Es werden </w:t>
      </w:r>
      <w:r w:rsidR="0054249E">
        <w:t>Features</w:t>
      </w:r>
      <w:r>
        <w:t xml:space="preserve"> von TUWEL vorgestellt, mit denen Lehrende d</w:t>
      </w:r>
      <w:r w:rsidR="0054249E">
        <w:t>ie s</w:t>
      </w:r>
      <w:r>
        <w:t xml:space="preserve">tudentische </w:t>
      </w:r>
      <w:r w:rsidR="00A92E29">
        <w:t>Aktivität</w:t>
      </w:r>
      <w:r>
        <w:t xml:space="preserve"> im Blick behalten können (</w:t>
      </w:r>
      <w:r w:rsidR="00A92E29">
        <w:t xml:space="preserve">das Modul </w:t>
      </w:r>
      <w:r>
        <w:t xml:space="preserve">„Aktivitätssupport“) sowie die Funktion „Voraussetzungen“ mit denen auf den organisatorischen bzw. den visuellen Verlauf </w:t>
      </w:r>
      <w:r w:rsidR="0054249E">
        <w:t xml:space="preserve">der Studierenden </w:t>
      </w:r>
      <w:r>
        <w:t>Einfluss genommen werden kann.</w:t>
      </w:r>
    </w:p>
    <w:p w:rsidR="00A779BC" w:rsidRDefault="00A779BC" w:rsidP="0056060B">
      <w:bookmarkStart w:id="0" w:name="_GoBack"/>
      <w:bookmarkEnd w:id="0"/>
    </w:p>
    <w:p w:rsidR="0056060B" w:rsidRPr="0056060B" w:rsidRDefault="0056060B" w:rsidP="0056060B">
      <w:pPr>
        <w:jc w:val="center"/>
        <w:rPr>
          <w:b/>
        </w:rPr>
      </w:pPr>
      <w:r w:rsidRPr="0056060B">
        <w:rPr>
          <w:b/>
        </w:rPr>
        <w:t>Kontakt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82"/>
        <w:gridCol w:w="1838"/>
      </w:tblGrid>
      <w:tr w:rsidR="0056060B" w:rsidTr="0056060B">
        <w:trPr>
          <w:trHeight w:val="2049"/>
        </w:trPr>
        <w:tc>
          <w:tcPr>
            <w:tcW w:w="4673" w:type="dxa"/>
          </w:tcPr>
          <w:p w:rsidR="00977BD2" w:rsidRDefault="00977BD2">
            <w:r>
              <w:t xml:space="preserve">Einen Überblick zu den Angeboten des Teaching Support Centers finden Sie am besten auf unserer Homepage: </w:t>
            </w:r>
            <w:hyperlink r:id="rId5" w:history="1">
              <w:r w:rsidRPr="00080B91">
                <w:rPr>
                  <w:rStyle w:val="Hyperlink"/>
                </w:rPr>
                <w:t>http://institute.tuwien.ac.at/tsc</w:t>
              </w:r>
            </w:hyperlink>
          </w:p>
        </w:tc>
        <w:tc>
          <w:tcPr>
            <w:tcW w:w="2982" w:type="dxa"/>
          </w:tcPr>
          <w:p w:rsidR="00977BD2" w:rsidRDefault="0056060B" w:rsidP="0056060B">
            <w:pPr>
              <w:jc w:val="right"/>
            </w:pPr>
            <w:r>
              <w:rPr>
                <w:noProof/>
                <w:lang w:eastAsia="de-AT"/>
              </w:rPr>
              <w:drawing>
                <wp:inline distT="0" distB="0" distL="0" distR="0" wp14:anchorId="6C045516" wp14:editId="7D41221A">
                  <wp:extent cx="1344627" cy="54292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C_Logo_JPEG-Vers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48" cy="54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977BD2" w:rsidRDefault="0056060B" w:rsidP="0056060B">
            <w:pPr>
              <w:jc w:val="right"/>
            </w:pPr>
            <w:r w:rsidRPr="0056060B">
              <w:rPr>
                <w:noProof/>
                <w:lang w:eastAsia="de-AT"/>
              </w:rPr>
              <w:drawing>
                <wp:inline distT="0" distB="0" distL="0" distR="0" wp14:anchorId="36A65AF3" wp14:editId="26FBF3DF">
                  <wp:extent cx="1080000" cy="1080000"/>
                  <wp:effectExtent l="0" t="0" r="6350" b="6350"/>
                  <wp:docPr id="2" name="Grafik 2" descr="C:\Users\GERGEL~1\AppData\Local\Temp\qr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GEL~1\AppData\Local\Temp\qr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60B" w:rsidTr="0056060B">
        <w:tc>
          <w:tcPr>
            <w:tcW w:w="4673" w:type="dxa"/>
          </w:tcPr>
          <w:p w:rsidR="00977BD2" w:rsidRDefault="0056060B" w:rsidP="0056060B">
            <w:r>
              <w:t xml:space="preserve">Informationen sowie Unterlagen zu TUWEL finden Sie gesammelt im Kurs „TUWEL Tutorials“ direkt in der zentralen E-Learning Plattform: </w:t>
            </w:r>
            <w:hyperlink r:id="rId8" w:history="1">
              <w:r w:rsidRPr="00080B91">
                <w:rPr>
                  <w:rStyle w:val="Hyperlink"/>
                </w:rPr>
                <w:t>https://tuwel.tuwien.ac.at/course/view.php?idnumber=tuweltutorials</w:t>
              </w:r>
            </w:hyperlink>
          </w:p>
        </w:tc>
        <w:tc>
          <w:tcPr>
            <w:tcW w:w="2982" w:type="dxa"/>
          </w:tcPr>
          <w:p w:rsidR="00977BD2" w:rsidRDefault="0056060B" w:rsidP="0056060B">
            <w:pPr>
              <w:jc w:val="right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291590" cy="367305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WEL2_320px_72pp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15" cy="37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977BD2" w:rsidRDefault="0056060B">
            <w:r w:rsidRPr="0056060B">
              <w:rPr>
                <w:noProof/>
                <w:lang w:eastAsia="de-AT"/>
              </w:rPr>
              <w:drawing>
                <wp:inline distT="0" distB="0" distL="0" distR="0">
                  <wp:extent cx="1080000" cy="1080000"/>
                  <wp:effectExtent l="0" t="0" r="6350" b="6350"/>
                  <wp:docPr id="4" name="Grafik 4" descr="C:\Users\GERGEL~1\AppData\Local\Temp\qrcod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GEL~1\AppData\Local\Temp\qrcode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AC2" w:rsidRPr="0056060B" w:rsidRDefault="00226AC2">
      <w:pPr>
        <w:rPr>
          <w:sz w:val="2"/>
          <w:szCs w:val="2"/>
        </w:rPr>
      </w:pPr>
    </w:p>
    <w:sectPr w:rsidR="00226AC2" w:rsidRPr="00560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45E67"/>
    <w:multiLevelType w:val="hybridMultilevel"/>
    <w:tmpl w:val="8A20927C"/>
    <w:lvl w:ilvl="0" w:tplc="6F348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2"/>
    <w:rsid w:val="00014216"/>
    <w:rsid w:val="000422A9"/>
    <w:rsid w:val="000475E8"/>
    <w:rsid w:val="00073A64"/>
    <w:rsid w:val="00086A7A"/>
    <w:rsid w:val="000A5F8A"/>
    <w:rsid w:val="000C6088"/>
    <w:rsid w:val="000D2465"/>
    <w:rsid w:val="001309A1"/>
    <w:rsid w:val="001423B8"/>
    <w:rsid w:val="00155407"/>
    <w:rsid w:val="00176737"/>
    <w:rsid w:val="00191BB5"/>
    <w:rsid w:val="001A1F6C"/>
    <w:rsid w:val="001A6E5A"/>
    <w:rsid w:val="001D1CF1"/>
    <w:rsid w:val="001E612F"/>
    <w:rsid w:val="00201560"/>
    <w:rsid w:val="00226AC2"/>
    <w:rsid w:val="00246098"/>
    <w:rsid w:val="00254023"/>
    <w:rsid w:val="002558DE"/>
    <w:rsid w:val="00261C7E"/>
    <w:rsid w:val="002A2B74"/>
    <w:rsid w:val="00302CBF"/>
    <w:rsid w:val="00303B9E"/>
    <w:rsid w:val="003145A9"/>
    <w:rsid w:val="0032424F"/>
    <w:rsid w:val="00342C2A"/>
    <w:rsid w:val="00372C6D"/>
    <w:rsid w:val="0037409E"/>
    <w:rsid w:val="00385690"/>
    <w:rsid w:val="00392ADD"/>
    <w:rsid w:val="003A7887"/>
    <w:rsid w:val="003C6268"/>
    <w:rsid w:val="003C7628"/>
    <w:rsid w:val="004132C0"/>
    <w:rsid w:val="00424D6D"/>
    <w:rsid w:val="0043758C"/>
    <w:rsid w:val="0046331A"/>
    <w:rsid w:val="004D4CBE"/>
    <w:rsid w:val="004F310C"/>
    <w:rsid w:val="00524644"/>
    <w:rsid w:val="00525731"/>
    <w:rsid w:val="0054249E"/>
    <w:rsid w:val="00550EFC"/>
    <w:rsid w:val="0056060B"/>
    <w:rsid w:val="00561F98"/>
    <w:rsid w:val="00573A27"/>
    <w:rsid w:val="00585AD4"/>
    <w:rsid w:val="005A75D8"/>
    <w:rsid w:val="005D4A63"/>
    <w:rsid w:val="005D575E"/>
    <w:rsid w:val="006048E8"/>
    <w:rsid w:val="0060733D"/>
    <w:rsid w:val="00611158"/>
    <w:rsid w:val="006713AC"/>
    <w:rsid w:val="00674836"/>
    <w:rsid w:val="006D2433"/>
    <w:rsid w:val="006E529F"/>
    <w:rsid w:val="006E5A0D"/>
    <w:rsid w:val="006E6E8E"/>
    <w:rsid w:val="006F0524"/>
    <w:rsid w:val="006F20EE"/>
    <w:rsid w:val="00714700"/>
    <w:rsid w:val="00746BF1"/>
    <w:rsid w:val="007534C6"/>
    <w:rsid w:val="00753AFE"/>
    <w:rsid w:val="00757E5A"/>
    <w:rsid w:val="007C4F97"/>
    <w:rsid w:val="007D17D6"/>
    <w:rsid w:val="007D789A"/>
    <w:rsid w:val="007E20E3"/>
    <w:rsid w:val="007F6B07"/>
    <w:rsid w:val="00804532"/>
    <w:rsid w:val="008152E5"/>
    <w:rsid w:val="00820B01"/>
    <w:rsid w:val="00867C2F"/>
    <w:rsid w:val="008801E2"/>
    <w:rsid w:val="008A5E5E"/>
    <w:rsid w:val="008B0A09"/>
    <w:rsid w:val="008B22E9"/>
    <w:rsid w:val="008D7464"/>
    <w:rsid w:val="008E5D8F"/>
    <w:rsid w:val="008F42FF"/>
    <w:rsid w:val="009226D3"/>
    <w:rsid w:val="00936686"/>
    <w:rsid w:val="00966F4A"/>
    <w:rsid w:val="00967844"/>
    <w:rsid w:val="00977BD2"/>
    <w:rsid w:val="00981039"/>
    <w:rsid w:val="00990FB9"/>
    <w:rsid w:val="00993FEF"/>
    <w:rsid w:val="009B10CB"/>
    <w:rsid w:val="00A059B2"/>
    <w:rsid w:val="00A061AC"/>
    <w:rsid w:val="00A209AA"/>
    <w:rsid w:val="00A26522"/>
    <w:rsid w:val="00A33328"/>
    <w:rsid w:val="00A66085"/>
    <w:rsid w:val="00A75D0C"/>
    <w:rsid w:val="00A77704"/>
    <w:rsid w:val="00A779BC"/>
    <w:rsid w:val="00A90E11"/>
    <w:rsid w:val="00A90F9C"/>
    <w:rsid w:val="00A92E29"/>
    <w:rsid w:val="00AB76BF"/>
    <w:rsid w:val="00AC24F1"/>
    <w:rsid w:val="00AF479C"/>
    <w:rsid w:val="00B05FBA"/>
    <w:rsid w:val="00B15C1E"/>
    <w:rsid w:val="00B23E74"/>
    <w:rsid w:val="00B306F9"/>
    <w:rsid w:val="00B338FB"/>
    <w:rsid w:val="00B547EF"/>
    <w:rsid w:val="00B718A2"/>
    <w:rsid w:val="00B776D7"/>
    <w:rsid w:val="00B80EC5"/>
    <w:rsid w:val="00B810BB"/>
    <w:rsid w:val="00BB056F"/>
    <w:rsid w:val="00BE53AA"/>
    <w:rsid w:val="00BF71C4"/>
    <w:rsid w:val="00C173CB"/>
    <w:rsid w:val="00C37B62"/>
    <w:rsid w:val="00CD6B2D"/>
    <w:rsid w:val="00D03DE1"/>
    <w:rsid w:val="00D65B7C"/>
    <w:rsid w:val="00D74A38"/>
    <w:rsid w:val="00DC4AC7"/>
    <w:rsid w:val="00E0623B"/>
    <w:rsid w:val="00E10B91"/>
    <w:rsid w:val="00E13ED6"/>
    <w:rsid w:val="00E1505F"/>
    <w:rsid w:val="00E3707E"/>
    <w:rsid w:val="00E473CA"/>
    <w:rsid w:val="00E5415C"/>
    <w:rsid w:val="00E57359"/>
    <w:rsid w:val="00E75659"/>
    <w:rsid w:val="00E75FFC"/>
    <w:rsid w:val="00E9064E"/>
    <w:rsid w:val="00E94CF9"/>
    <w:rsid w:val="00EB04B2"/>
    <w:rsid w:val="00EB1536"/>
    <w:rsid w:val="00EB44F7"/>
    <w:rsid w:val="00EE3DCC"/>
    <w:rsid w:val="00EF2BDC"/>
    <w:rsid w:val="00F3261F"/>
    <w:rsid w:val="00F5241B"/>
    <w:rsid w:val="00F80663"/>
    <w:rsid w:val="00F86F74"/>
    <w:rsid w:val="00FC3961"/>
    <w:rsid w:val="00FC6DA5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82A7-5506-40C7-AB30-1B32627D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B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79B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7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wel.tuwien.ac.at/course/view.php?idnumber=tuweltuto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nstitute.tuwien.ac.at/ts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Rakoczi</dc:creator>
  <cp:keywords/>
  <dc:description/>
  <cp:lastModifiedBy>Gergely Rakoczi</cp:lastModifiedBy>
  <cp:revision>7</cp:revision>
  <cp:lastPrinted>2015-04-08T09:15:00Z</cp:lastPrinted>
  <dcterms:created xsi:type="dcterms:W3CDTF">2015-04-08T06:18:00Z</dcterms:created>
  <dcterms:modified xsi:type="dcterms:W3CDTF">2015-04-08T14:01:00Z</dcterms:modified>
</cp:coreProperties>
</file>